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29"/>
        <w:gridCol w:w="8434"/>
      </w:tblGrid>
      <w:tr>
        <w:trPr/>
        <w:tc>
          <w:tcPr>
            <w:tcW w:w="9063" w:type="dxa"/>
            <w:gridSpan w:val="2"/>
            <w:tcBorders/>
          </w:tcPr>
          <w:p>
            <w:pPr>
              <w:pStyle w:val="ConsPlusNormal"/>
              <w:jc w:val="center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СВОДНЫЙ ОТЧЕТ</w:t>
            </w:r>
          </w:p>
          <w:p>
            <w:pPr>
              <w:pStyle w:val="ConsPlusNormal"/>
              <w:jc w:val="center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 проведении оценки регулирующего воздействия в отношении проекта постановления Правительства Ивановской области «О внесении изменений в некоторые постановления Правительства Ивановской области»</w:t>
            </w:r>
          </w:p>
        </w:tc>
      </w:tr>
      <w:tr>
        <w:trPr/>
        <w:tc>
          <w:tcPr>
            <w:tcW w:w="9063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 Общая информация</w:t>
            </w:r>
          </w:p>
        </w:tc>
      </w:tr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1.1.</w:t>
            </w:r>
          </w:p>
        </w:tc>
        <w:tc>
          <w:tcPr>
            <w:tcW w:w="8434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Разработчик проекта нормативного правового акта Ивановской области (далее - проект нормативного правового акта):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sz w:val="22"/>
                <w:szCs w:val="22"/>
              </w:rPr>
              <w:t>Департамент жилищно-коммунального хозяйства Ивановской области</w:t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(Департамент ЖКХ)</w:t>
            </w:r>
          </w:p>
        </w:tc>
      </w:tr>
      <w:tr>
        <w:trPr/>
        <w:tc>
          <w:tcPr>
            <w:tcW w:w="629" w:type="dxa"/>
            <w:tcBorders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1.2.</w:t>
            </w:r>
          </w:p>
        </w:tc>
        <w:tc>
          <w:tcPr>
            <w:tcW w:w="8434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Сведения о соисполнителях: соисполнители отсутствуют</w:t>
            </w:r>
          </w:p>
        </w:tc>
      </w:tr>
      <w:tr>
        <w:trPr/>
        <w:tc>
          <w:tcPr>
            <w:tcW w:w="629" w:type="dxa"/>
            <w:tcBorders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1.3.</w:t>
            </w:r>
          </w:p>
        </w:tc>
        <w:tc>
          <w:tcPr>
            <w:tcW w:w="8434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sz w:val="22"/>
                <w:szCs w:val="22"/>
              </w:rPr>
              <w:t>В</w:t>
            </w:r>
            <w:r>
              <w:rPr>
                <w:rFonts w:cs="Times New Roman" w:ascii="Tempora LGC Uni" w:hAnsi="Tempora LGC Uni"/>
                <w:b w:val="false"/>
                <w:bCs w:val="false"/>
                <w:sz w:val="22"/>
                <w:szCs w:val="22"/>
              </w:rPr>
              <w:t>ид и наименование проекта нормативного правового акта: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b w:val="false"/>
                <w:bCs w:val="false"/>
                <w:sz w:val="22"/>
                <w:szCs w:val="22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b w:val="false"/>
                <w:bCs w:val="false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b w:val="false"/>
                <w:bCs w:val="false"/>
                <w:sz w:val="22"/>
                <w:szCs w:val="22"/>
              </w:rPr>
              <w:t>постановление Правительства Ивановской области «О внесении изменений в постановление Правительства Ивановской области от 19.12.2025 №529-п «Об утверждении Порядка предоставления из областного бюджета субсидии на финансовое обеспечение затрат на капитальный ремонт канализационной магистрали, проходящей по Ивановской области в г. Иваново»</w:t>
            </w:r>
          </w:p>
        </w:tc>
      </w:tr>
      <w:tr>
        <w:trPr/>
        <w:tc>
          <w:tcPr>
            <w:tcW w:w="629" w:type="dxa"/>
            <w:tcBorders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1.4.</w:t>
            </w:r>
          </w:p>
        </w:tc>
        <w:tc>
          <w:tcPr>
            <w:tcW w:w="8434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Краткое описание проблемы, на решение которой направлен предлагаемый способ регулирования: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 xml:space="preserve">положения порядков предоставления грантов в форме субсидий юридическим лицам </w:t>
              <w:br/>
              <w:t>не соответствуют нормам федерального законодательства</w:t>
            </w:r>
          </w:p>
        </w:tc>
      </w:tr>
      <w:tr>
        <w:trPr/>
        <w:tc>
          <w:tcPr>
            <w:tcW w:w="629" w:type="dxa"/>
            <w:tcBorders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1.5.</w:t>
            </w:r>
          </w:p>
        </w:tc>
        <w:tc>
          <w:tcPr>
            <w:tcW w:w="8434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Основание для разработки проекта нормативного правового акта: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  статья 78.5 БК РФ;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 xml:space="preserve">- постановление Правительства Российской Федерации от 25.12.2025 №2144 </w:t>
              <w:br/>
              <w:t>«О внесении изменений в некоторые акты Правительства Российской Федерации»;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 xml:space="preserve">- постановление Правительства Российской Федерации от 25.10.2023 </w:t>
              <w:br/>
              <w:t>№1782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постановление Правительства Российской Федерации от 25.01.2025 №48 «Об утверждении Правил предоставления Федеральным казначейством бюджетам субъектов Российской Федерации бюджетных кредитов на финансовое обеспечение реализации инфраструктурных проектов за счет временно свободных средств единого счета федерального бюджета, а также их использования и возврата»</w:t>
            </w:r>
          </w:p>
        </w:tc>
      </w:tr>
      <w:tr>
        <w:trPr/>
        <w:tc>
          <w:tcPr>
            <w:tcW w:w="629" w:type="dxa"/>
            <w:tcBorders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1.6.</w:t>
            </w:r>
          </w:p>
        </w:tc>
        <w:tc>
          <w:tcPr>
            <w:tcW w:w="8434" w:type="dxa"/>
            <w:tcBorders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Краткое описание целей предлагаемого правового регулирования: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приведение положений порядков предоставления грантов в форме субсидий юридическим лицам в соответствие федеральному законодательству</w:t>
            </w:r>
          </w:p>
        </w:tc>
      </w:tr>
      <w:tr>
        <w:trPr/>
        <w:tc>
          <w:tcPr>
            <w:tcW w:w="629" w:type="dxa"/>
            <w:tcBorders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1.7.</w:t>
            </w:r>
          </w:p>
        </w:tc>
        <w:tc>
          <w:tcPr>
            <w:tcW w:w="8434" w:type="dxa"/>
            <w:tcBorders>
              <w:right w:val="single" w:sz="4" w:space="0" w:color="000000"/>
            </w:tcBorders>
          </w:tcPr>
          <w:p>
            <w:pPr>
              <w:pStyle w:val="ConsPlusNormal"/>
              <w:spacing w:lineRule="auto" w:line="240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Краткое описание предлагаемого способа правового регулирования:</w:t>
            </w:r>
          </w:p>
          <w:p>
            <w:pPr>
              <w:pStyle w:val="ConsPlusNormal"/>
              <w:spacing w:lineRule="auto" w:line="240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Normal"/>
              <w:tabs>
                <w:tab w:val="clear" w:pos="708"/>
                <w:tab w:val="left" w:pos="900" w:leader="none"/>
              </w:tabs>
              <w:spacing w:lineRule="auto" w:line="240"/>
              <w:ind w:hanging="0" w:left="0" w:right="0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ascii="Tempora LGC Uni" w:hAnsi="Tempora LGC Uni"/>
                <w:color w:val="000000"/>
                <w:sz w:val="22"/>
                <w:szCs w:val="22"/>
              </w:rPr>
              <w:t>По всему тексту постановлений изменено наименование постановления Правительства РФ от 25.10.2023 №1782.</w:t>
            </w:r>
          </w:p>
          <w:p>
            <w:pPr>
              <w:pStyle w:val="Normal"/>
              <w:tabs>
                <w:tab w:val="clear" w:pos="708"/>
                <w:tab w:val="left" w:pos="900" w:leader="none"/>
              </w:tabs>
              <w:spacing w:lineRule="auto" w:line="240" w:before="0" w:after="200"/>
              <w:ind w:hanging="0" w:left="0" w:right="0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color w:val="000000"/>
                <w:sz w:val="22"/>
                <w:szCs w:val="22"/>
              </w:rPr>
              <w:t>В соответствии с подпунктом «е» пункта 2 Общих требований Проектом предусмотрено уточнение периода (10 рабочих дней), в течение которого должна быть размещена информация на едином портале бюджетной системы Российской Федерации в сети Интернет о грантах, в том числе предусмотренных законом о бюджете (законом (решением) о внесении изменений в закон (решение) о бюджете).</w:t>
            </w:r>
          </w:p>
          <w:p>
            <w:pPr>
              <w:pStyle w:val="Normal"/>
              <w:tabs>
                <w:tab w:val="clear" w:pos="708"/>
                <w:tab w:val="left" w:pos="900" w:leader="none"/>
              </w:tabs>
              <w:spacing w:lineRule="auto" w:line="240" w:before="0" w:after="200"/>
              <w:ind w:hanging="0" w:left="0" w:right="0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color w:val="000000"/>
                <w:sz w:val="22"/>
                <w:szCs w:val="22"/>
              </w:rPr>
              <w:t>С учетом замечаний Департамента финансов Ивановской области, изложенных в письмах от 08.04.2026 №05-04-2-31, от 18.05.2026 №05-01-2-44, в соответствии с постановлением Правительства Российской Федерации от 25.01.2025 №48  в пункт 3.4. Проекта включены дополнительные условия, подлежащие включению в соглашение между Департаментом и получателем субсидии:</w:t>
            </w:r>
          </w:p>
          <w:p>
            <w:pPr>
              <w:pStyle w:val="Normal"/>
              <w:tabs>
                <w:tab w:val="clear" w:pos="708"/>
                <w:tab w:val="left" w:pos="900" w:leader="none"/>
              </w:tabs>
              <w:spacing w:lineRule="auto" w:line="240" w:before="0" w:after="200"/>
              <w:ind w:hanging="0" w:left="0" w:right="0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color w:val="000000"/>
                <w:sz w:val="22"/>
                <w:szCs w:val="22"/>
              </w:rPr>
              <w:t>- обязательство соблюдения получателем субсидии графика реализации инфраструктурного проекта (мероприятия) (паспорта инфраструктурного проекта (мероприятия)), содержащего обязательные контрольные точки, для реализации которого предоставляется субсидия;</w:t>
            </w:r>
          </w:p>
          <w:p>
            <w:pPr>
              <w:pStyle w:val="Normal"/>
              <w:tabs>
                <w:tab w:val="clear" w:pos="708"/>
                <w:tab w:val="left" w:pos="900" w:leader="none"/>
              </w:tabs>
              <w:spacing w:lineRule="auto" w:line="240" w:before="0" w:after="200"/>
              <w:ind w:hanging="0" w:left="0" w:right="0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color w:val="000000"/>
                <w:sz w:val="22"/>
                <w:szCs w:val="22"/>
              </w:rPr>
              <w:t>- обязательство получателя субсидии по указанию аналитических кодов, формируемых Федеральным казначейством в порядке, установленном Министерством финансов Российской Федерации, в соглашениях (договорах) и государственных контрактах (договорах), в контрактах (договорах) о поставке товаров, выполнении работ, оказании услуг, заключаемых исполнителями и соисполнителями в рамках исполнения указанных договоров (соглашений) о предоставлении субсидий, а также в  распоряжениях о совершении казначейских платежей;</w:t>
            </w:r>
          </w:p>
          <w:p>
            <w:pPr>
              <w:pStyle w:val="Normal"/>
              <w:tabs>
                <w:tab w:val="clear" w:pos="708"/>
                <w:tab w:val="left" w:pos="900" w:leader="none"/>
              </w:tabs>
              <w:spacing w:lineRule="auto" w:line="240" w:before="0" w:after="200"/>
              <w:ind w:hanging="0" w:left="0" w:right="0"/>
              <w:jc w:val="both"/>
              <w:rPr>
                <w:rFonts w:ascii="Tempora LGC Uni" w:hAnsi="Tempora LGC Uni"/>
                <w:sz w:val="22"/>
                <w:szCs w:val="22"/>
              </w:rPr>
            </w:pPr>
            <w:r>
              <w:rPr>
                <w:rFonts w:cs="Times New Roman" w:ascii="Tempora LGC Uni" w:hAnsi="Tempora LGC Uni"/>
                <w:color w:val="000000"/>
                <w:sz w:val="22"/>
                <w:szCs w:val="22"/>
              </w:rPr>
              <w:t>- обязательство получателя субсидии о достижении значений показателей реализации инфраструктурного проекта (мероприятия), для реализации которого предоставляется субсидия.</w:t>
            </w:r>
          </w:p>
        </w:tc>
      </w:tr>
      <w:tr>
        <w:trPr/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1.8.</w:t>
            </w:r>
          </w:p>
        </w:tc>
        <w:tc>
          <w:tcPr>
            <w:tcW w:w="84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Контактная информация исполнителя разработчика:</w:t>
            </w:r>
          </w:p>
        </w:tc>
      </w:tr>
      <w:tr>
        <w:trPr/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(Фамилия, имя, отчество): Лутченко Д.А.</w:t>
            </w:r>
          </w:p>
        </w:tc>
      </w:tr>
      <w:tr>
        <w:trPr/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Должность: главный консультант-юрист управления экономики и отчетности</w:t>
            </w:r>
          </w:p>
        </w:tc>
      </w:tr>
      <w:tr>
        <w:trPr/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 xml:space="preserve">Телефон: </w:t>
            </w:r>
            <w:r>
              <w:rPr>
                <w:rFonts w:cs="Times New Roman" w:ascii="Tempora LGC Uni" w:hAnsi="Tempora LGC Uni"/>
                <w:sz w:val="22"/>
                <w:szCs w:val="22"/>
              </w:rPr>
              <w:t>(4932) 41-26-32</w:t>
            </w:r>
          </w:p>
        </w:tc>
      </w:tr>
      <w:tr>
        <w:trPr/>
        <w:tc>
          <w:tcPr>
            <w:tcW w:w="9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 xml:space="preserve">Адрес электронной почты: </w:t>
            </w:r>
            <w:r>
              <w:rPr>
                <w:rFonts w:cs="Times New Roman" w:ascii="Tempora LGC Uni" w:hAnsi="Tempora LGC Uni"/>
                <w:sz w:val="22"/>
                <w:szCs w:val="22"/>
              </w:rPr>
              <w:t>lutchenko_da@ivreg.ru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771"/>
        <w:gridCol w:w="5238"/>
        <w:gridCol w:w="3055"/>
      </w:tblGrid>
      <w:tr>
        <w:trPr/>
        <w:tc>
          <w:tcPr>
            <w:tcW w:w="9064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2. Степень регулирующего воздействия проекта нормативного правового акта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2.1.</w:t>
            </w:r>
          </w:p>
        </w:tc>
        <w:tc>
          <w:tcPr>
            <w:tcW w:w="52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Степень регулирующего воздействия проекта нормативного правового акта: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низкая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2.2.</w:t>
            </w:r>
          </w:p>
        </w:tc>
        <w:tc>
          <w:tcPr>
            <w:tcW w:w="829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Обоснование отнесения проекта нормативного правового акта к определенной степени регулирующего воздействия: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проект разработан исключительно в целях приведения отдельных положений нормативного правового акта, затрагивающих вопросы осуществления предпринимательской, инвестиционной и иной экономической деятельности, в соответствие с федеральным законодательством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9064"/>
      </w:tblGrid>
      <w:tr>
        <w:trPr/>
        <w:tc>
          <w:tcPr>
            <w:tcW w:w="9064" w:type="dxa"/>
            <w:tcBorders/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70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770"/>
        <w:gridCol w:w="8299"/>
      </w:tblGrid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3.1.</w:t>
            </w:r>
          </w:p>
        </w:tc>
        <w:tc>
          <w:tcPr>
            <w:tcW w:w="829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положения порядков предоставления грантов в форме субсидий юридическим лицам не соответствуют нормам федерального законодательства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3.2.</w:t>
            </w:r>
          </w:p>
        </w:tc>
        <w:tc>
          <w:tcPr>
            <w:tcW w:w="829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Негативные эффекты, возникающие в связи с наличием проблемы: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нарушение правоотношений, определенных положениями статьи 78.5 БК РФ и постановлением Правительства Российской Федерации от 25.10.2023 №1782; постановлением Правительства Российской Федерации от 25.01.2025 №48;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ascii="Tempora LGC Uni" w:hAnsi="Tempora LGC Uni"/>
                <w:color w:val="000000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наличие трудновыполнимых и (или) обременительных требований к организациям.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3.3.</w:t>
            </w:r>
          </w:p>
        </w:tc>
        <w:tc>
          <w:tcPr>
            <w:tcW w:w="829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Департаментом ЖКХ разработан проект постановления Правительства Ивановской области «О внесении изменений в постановление Правительства Ивановской области от 19.12.2025 №529-п «Об утверждении Порядка предоставления из областного бюджета субсидии на финансовое обеспечение затрат на капитальный ремонт канализационной магистрали, проходящей по Ивановской области в г. Иваново»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3.4.</w:t>
            </w:r>
          </w:p>
        </w:tc>
        <w:tc>
          <w:tcPr>
            <w:tcW w:w="8299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отсутствуют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3.5.</w:t>
            </w:r>
          </w:p>
        </w:tc>
        <w:tc>
          <w:tcPr>
            <w:tcW w:w="82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Источники данных: отсутствуют</w:t>
            </w:r>
          </w:p>
        </w:tc>
      </w:tr>
      <w:tr>
        <w:trPr/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3.6.</w:t>
            </w:r>
          </w:p>
        </w:tc>
        <w:tc>
          <w:tcPr>
            <w:tcW w:w="82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Иная информация о проблеме: отсутствует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771"/>
        <w:gridCol w:w="3763"/>
        <w:gridCol w:w="4529"/>
      </w:tblGrid>
      <w:tr>
        <w:trPr/>
        <w:tc>
          <w:tcPr>
            <w:tcW w:w="9063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5. Цели предлагаемого регулирования и их соответствие принципам правового регулирования</w:t>
            </w:r>
          </w:p>
        </w:tc>
      </w:tr>
      <w:tr>
        <w:trPr/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5.1. Цели предлагаемого регулирования: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5.2. Установленные сроки достижения целей предлагаемого регулирования:</w:t>
            </w:r>
          </w:p>
        </w:tc>
      </w:tr>
      <w:tr>
        <w:trPr/>
        <w:tc>
          <w:tcPr>
            <w:tcW w:w="4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по всему тексту постановлений изменено наименование постановления Правительства РФ от 25.10.2023 №1782;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 xml:space="preserve">- предусмотрено уточнение периода </w:t>
              <w:br/>
              <w:t>(10 рабочих дней), в течение которого размещается информация на едином портале бюджетной системы РФ в сети Интернет о грантах;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-предусмотрены дополнительные условия, подлежащие включению в соглашение между Департаментом и получателем субсидии (обязательство соблюдения получателем субсидии графика реализации инфраструктурного проекта (мероприятия) (паспорта инфраструктурного проекта (мероприятия)), содержащего обязательные контрольные точки, для реализации которого предоставляется субсидия; обязательство получате</w:t>
            </w:r>
            <w:r>
              <w:rPr>
                <w:rFonts w:cs="Times New Roman" w:ascii="Tempora LGC Uni" w:hAnsi="Tempora LGC Uni"/>
                <w:color w:val="000000"/>
                <w:sz w:val="22"/>
                <w:szCs w:val="22"/>
              </w:rPr>
              <w:t>ля субсидии по указанию аналитических кодов, формируемых Федеральным казначейством в порядке, установленном Министерством финансов Российской Федерации, в соглашениях (договорах) и государственных контрактах (договорах), в контрактах (договорах) о поставке товаров, выполнении работ, оказании услуг, заключаемых исполнителями и соисполнителями в рамках исполнения указанных договоров (соглашений) о предоставлении субсидий, а также в  распоряжениях о совершении казначейских платежей; «обязательство получателя субсидии о достижении значений показателей реализации инфраструктурного проекта (мероприятия), для реализации которого предоставляется субсидия»)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на постоянной основе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5.3.</w:t>
            </w:r>
          </w:p>
        </w:tc>
        <w:tc>
          <w:tcPr>
            <w:tcW w:w="8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Обоснование соответствия целей предлагаемого регулирования принципам правового регулирования: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 xml:space="preserve">правоотношения будут соответствовать положениям статьи 78.5 Бюджетного кодекса Российской Федерации, постановлению Правительства Российской Федерации </w:t>
              <w:br/>
              <w:t>от 25.10.2023 №1782,  постановлению Правительства Российской Федерации от 25.01.2025 №48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5.4.</w:t>
            </w:r>
          </w:p>
        </w:tc>
        <w:tc>
          <w:tcPr>
            <w:tcW w:w="829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Иная информация о целях предлагаемого регулирования: отсутствует</w:t>
            </w:r>
          </w:p>
        </w:tc>
      </w:tr>
      <w:tr>
        <w:trPr/>
        <w:tc>
          <w:tcPr>
            <w:tcW w:w="9063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6. Описание предлагаемого регулирования и иных возможных (альтернативных) способов решения проблемы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6.1.</w:t>
            </w:r>
          </w:p>
        </w:tc>
        <w:tc>
          <w:tcPr>
            <w:tcW w:w="8292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Описание предлагаемого способа решения проблемы и преодоления связанных с ней негативных эффектов: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по всему тексту постановлений изменить наименование постановления Правительства РФ от 25.10.2023 №1782;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предусмотреть уточнение периода (10 рабочих дней), в течение которого размещается информацию на едином портале бюджетной системы РФ в сети Интернет о грантах;</w:t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- предусмотреть дополнительные обязательства получателя субсидии, подлежащие включению в соглашение о предоставлении субсидии.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6.2.</w:t>
            </w:r>
          </w:p>
        </w:tc>
        <w:tc>
          <w:tcPr>
            <w:tcW w:w="8292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иные способы отсутствуют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6.3.</w:t>
            </w:r>
          </w:p>
        </w:tc>
        <w:tc>
          <w:tcPr>
            <w:tcW w:w="829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Обоснование выбора предлагаемого способа решения проблемы: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часть 5 статьи 76 Конституции РФ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6.4.</w:t>
            </w:r>
          </w:p>
        </w:tc>
        <w:tc>
          <w:tcPr>
            <w:tcW w:w="829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Иная информация о предлагаемом способе решения проблемы: отсутствует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771"/>
        <w:gridCol w:w="3762"/>
        <w:gridCol w:w="773"/>
        <w:gridCol w:w="3757"/>
      </w:tblGrid>
      <w:tr>
        <w:trPr/>
        <w:tc>
          <w:tcPr>
            <w:tcW w:w="9063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7. Основные группы субъектов предпринимательской и иной экономической деятельности, органы государственной власти Ивановской области и органы местного самоуправления муниципальных образований Ивановской области, интересы которых могут быть затронуты предлагаемым правовым регулированием, оценка количества таких субъектов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7.1.</w:t>
            </w:r>
          </w:p>
        </w:tc>
        <w:tc>
          <w:tcPr>
            <w:tcW w:w="3762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Группа участников отношений: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7.2.</w:t>
            </w:r>
          </w:p>
        </w:tc>
        <w:tc>
          <w:tcPr>
            <w:tcW w:w="3757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Оценка количества участников отношений:</w:t>
            </w:r>
          </w:p>
        </w:tc>
      </w:tr>
      <w:tr>
        <w:trPr/>
        <w:tc>
          <w:tcPr>
            <w:tcW w:w="45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 xml:space="preserve">бюджетные учреждения </w:t>
            </w:r>
            <w:r>
              <w:rPr>
                <w:rFonts w:cs="Times New Roman" w:ascii="Tempora LGC Uni" w:hAnsi="Tempora LGC Uni"/>
                <w:color w:val="000000"/>
              </w:rPr>
              <w:t>и коммерческие организации,</w:t>
            </w:r>
            <w:r>
              <w:rPr>
                <w:rFonts w:cs="Times New Roman" w:ascii="Tempora LGC Uni" w:hAnsi="Tempora LGC Uni"/>
                <w:color w:val="000000"/>
              </w:rPr>
              <w:t xml:space="preserve"> являющиеся организациями коммунального комплекса на территории Ивановской области</w:t>
            </w:r>
          </w:p>
        </w:tc>
        <w:tc>
          <w:tcPr>
            <w:tcW w:w="453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center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Ежегодно варьируется в зависимости от итогов тарифной кампании и наличии льготных тарифов у организаций,</w:t>
            </w:r>
          </w:p>
          <w:p>
            <w:pPr>
              <w:pStyle w:val="ConsPlusNormal"/>
              <w:jc w:val="center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в среднем около 3 участников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7.3.</w:t>
            </w:r>
          </w:p>
        </w:tc>
        <w:tc>
          <w:tcPr>
            <w:tcW w:w="829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Источники данных: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  <w:color w:val="000000"/>
              </w:rPr>
            </w:pPr>
            <w:r>
              <w:rPr>
                <w:rFonts w:cs="Times New Roman" w:ascii="Tempora LGC Uni" w:hAnsi="Tempora LGC Uni"/>
                <w:color w:val="000000"/>
              </w:rPr>
              <w:t>перечень получателей грантов в 2024-2025 годах</w:t>
            </w:r>
          </w:p>
        </w:tc>
      </w:tr>
      <w:tr>
        <w:trPr/>
        <w:tc>
          <w:tcPr>
            <w:tcW w:w="9063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both"/>
              <w:outlineLvl w:val="1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12. Риски решения проблемы предложенным способом правового регулирования и риски негативных последствий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12.1.</w:t>
            </w:r>
          </w:p>
        </w:tc>
        <w:tc>
          <w:tcPr>
            <w:tcW w:w="37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Риски решения проблемы предложенным способом и риски негативных последствий: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12.2.</w:t>
            </w:r>
          </w:p>
        </w:tc>
        <w:tc>
          <w:tcPr>
            <w:tcW w:w="375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Оценки вероятности наступления рисков:</w:t>
            </w:r>
          </w:p>
        </w:tc>
      </w:tr>
      <w:tr>
        <w:trPr/>
        <w:tc>
          <w:tcPr>
            <w:tcW w:w="453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отсутствуют</w:t>
            </w:r>
          </w:p>
        </w:tc>
        <w:tc>
          <w:tcPr>
            <w:tcW w:w="4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отсутствуют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12.3.</w:t>
            </w:r>
          </w:p>
        </w:tc>
        <w:tc>
          <w:tcPr>
            <w:tcW w:w="8292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Источники данных: Департамент жилищно-коммунального хозяйства Ивановской области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813"/>
        <w:gridCol w:w="8250"/>
      </w:tblGrid>
      <w:tr>
        <w:trPr/>
        <w:tc>
          <w:tcPr>
            <w:tcW w:w="9063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18. Наличие или отсутствие в проекте нормативного правового акта обязательных требований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18.1.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Наличие или отсутствие в проекте нормативного правового акта обязательных требований, их описание:</w:t>
            </w:r>
          </w:p>
          <w:p>
            <w:pPr>
              <w:pStyle w:val="ConsPlusNormal"/>
              <w:jc w:val="both"/>
              <w:rPr>
                <w:rFonts w:ascii="Tempora LGC Uni" w:hAnsi="Tempora LGC Uni" w:cs="Times New Roman"/>
              </w:rPr>
            </w:pPr>
            <w:r>
              <w:rPr>
                <w:rFonts w:cs="Times New Roman" w:ascii="Tempora LGC Uni" w:hAnsi="Tempora LGC Uni"/>
              </w:rPr>
            </w:r>
          </w:p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отсутствуют</w:t>
            </w:r>
          </w:p>
        </w:tc>
      </w:tr>
      <w:tr>
        <w:trPr/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18.2.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Иные необходимые, по мнению разработчика, сведения: отсутствуют</w:t>
            </w:r>
          </w:p>
        </w:tc>
      </w:tr>
      <w:tr>
        <w:trPr>
          <w:trHeight w:val="761" w:hRule="atLeast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18.3.</w:t>
            </w:r>
          </w:p>
        </w:tc>
        <w:tc>
          <w:tcPr>
            <w:tcW w:w="8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Источники данных: Департамент жилищно-коммунального хозяйства Ивановской области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</w:rPr>
      </w:r>
    </w:p>
    <w:tbl>
      <w:tblPr>
        <w:tblW w:w="9064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771"/>
        <w:gridCol w:w="8292"/>
      </w:tblGrid>
      <w:tr>
        <w:trPr/>
        <w:tc>
          <w:tcPr>
            <w:tcW w:w="9063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19. Иные сведения, которые, по мнению разработчика, позволяют оценить обоснованность предлагаемого регулирования</w:t>
            </w:r>
          </w:p>
        </w:tc>
      </w:tr>
      <w:tr>
        <w:trPr/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19.1.</w:t>
            </w:r>
          </w:p>
        </w:tc>
        <w:tc>
          <w:tcPr>
            <w:tcW w:w="82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jc w:val="both"/>
              <w:rPr>
                <w:rFonts w:ascii="Tempora LGC Uni" w:hAnsi="Tempora LGC Uni"/>
              </w:rPr>
            </w:pPr>
            <w:r>
              <w:rPr>
                <w:rFonts w:cs="Times New Roman" w:ascii="Tempora LGC Uni" w:hAnsi="Tempora LGC Uni"/>
              </w:rPr>
              <w:t>Иные необходимые, по мнению разработчика, сведения: иные сведения отсутствуют</w:t>
            </w:r>
          </w:p>
        </w:tc>
      </w:tr>
    </w:tbl>
    <w:p>
      <w:pPr>
        <w:pStyle w:val="ConsPlusNormal"/>
        <w:rPr>
          <w:rFonts w:ascii="Tempora LGC Uni" w:hAnsi="Tempora LGC Uni" w:cs="Times New Roman"/>
        </w:rPr>
      </w:pPr>
      <w:r>
        <w:rPr>
          <w:rFonts w:cs="Times New Roman" w:ascii="Tempora LGC Uni" w:hAnsi="Tempora LGC Uni"/>
          <w:sz w:val="28"/>
          <w:szCs w:val="28"/>
        </w:rPr>
      </w:r>
    </w:p>
    <w:p>
      <w:pPr>
        <w:pStyle w:val="Standard"/>
        <w:spacing w:lineRule="auto" w:line="240" w:before="0" w:after="0"/>
        <w:jc w:val="both"/>
        <w:rPr>
          <w:sz w:val="24"/>
          <w:szCs w:val="24"/>
        </w:rPr>
      </w:pPr>
      <w:r>
        <w:rPr>
          <w:rFonts w:ascii="Tempora LGC Uni" w:hAnsi="Tempora LGC Uni"/>
          <w:sz w:val="24"/>
          <w:szCs w:val="24"/>
        </w:rPr>
        <w:t>И.о. директора Департамента</w:t>
      </w:r>
    </w:p>
    <w:p>
      <w:pPr>
        <w:pStyle w:val="Standard"/>
        <w:spacing w:lineRule="auto" w:line="240" w:before="0" w:after="0"/>
        <w:jc w:val="both"/>
        <w:rPr>
          <w:sz w:val="24"/>
          <w:szCs w:val="24"/>
        </w:rPr>
      </w:pPr>
      <w:r>
        <w:rPr>
          <w:rFonts w:ascii="Tempora LGC Uni" w:hAnsi="Tempora LGC Uni"/>
          <w:sz w:val="24"/>
          <w:szCs w:val="24"/>
        </w:rPr>
        <w:t xml:space="preserve">жилищно-коммунального хозяйства </w:t>
      </w:r>
    </w:p>
    <w:p>
      <w:pPr>
        <w:pStyle w:val="Standard"/>
        <w:spacing w:lineRule="auto" w:line="240" w:before="0" w:after="0"/>
        <w:jc w:val="both"/>
        <w:rPr>
          <w:sz w:val="24"/>
          <w:szCs w:val="24"/>
        </w:rPr>
      </w:pPr>
      <w:r>
        <w:rPr>
          <w:rFonts w:ascii="Tempora LGC Uni" w:hAnsi="Tempora LGC Uni"/>
          <w:sz w:val="24"/>
          <w:szCs w:val="24"/>
        </w:rPr>
        <w:t>Ивановской области                                                                                                  Л.В. Белина</w:t>
      </w:r>
    </w:p>
    <w:p>
      <w:pPr>
        <w:pStyle w:val="Standard"/>
        <w:spacing w:lineRule="auto" w:line="240" w:before="0" w:after="0"/>
        <w:jc w:val="center"/>
        <w:rPr>
          <w:sz w:val="24"/>
          <w:szCs w:val="24"/>
        </w:rPr>
      </w:pPr>
      <w:r>
        <w:rPr>
          <w:rFonts w:ascii="Tempora LGC Uni" w:hAnsi="Tempora LGC Uni"/>
          <w:sz w:val="24"/>
          <w:szCs w:val="24"/>
        </w:rPr>
        <w:t xml:space="preserve">                                                                                                                                    </w:t>
      </w:r>
      <w:r>
        <w:rPr>
          <w:rFonts w:ascii="Tempora LGC Uni" w:hAnsi="Tempora LGC Uni"/>
          <w:sz w:val="24"/>
          <w:szCs w:val="24"/>
        </w:rPr>
        <w:t>21.</w:t>
      </w:r>
      <w:r>
        <w:rPr>
          <w:rFonts w:ascii="Tempora LGC Uni" w:hAnsi="Tempora LGC Uni"/>
          <w:sz w:val="24"/>
          <w:szCs w:val="24"/>
        </w:rPr>
        <w:t>05.2026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semiHidden/>
    <w:unhideWhenUsed/>
    <w:rsid w:val="00782770"/>
    <w:rPr>
      <w:color w:val="0000FF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9e5dd1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val="ru-RU" w:eastAsia="ru-RU" w:bidi="ar-SA"/>
    </w:rPr>
  </w:style>
  <w:style w:type="paragraph" w:styleId="Standard" w:customStyle="1">
    <w:name w:val="Standard"/>
    <w:qFormat/>
    <w:rsid w:val="00a75c7e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Times New Roman" w:asciiTheme="minorHAnsi" w:eastAsiaTheme="minorHAnsi" w:hAnsiTheme="minorHAnsi"/>
      <w:color w:val="auto"/>
      <w:kern w:val="2"/>
      <w:sz w:val="22"/>
      <w:szCs w:val="22"/>
      <w:lang w:val="ru-RU" w:eastAsia="ar-SA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Application>LibreOffice/7.6.0.3$Linux_X86_64 LibreOffice_project/60$Build-3</Application>
  <AppVersion>15.0000</AppVersion>
  <Pages>5</Pages>
  <Words>1258</Words>
  <Characters>9839</Characters>
  <CharactersWithSpaces>11211</CharactersWithSpaces>
  <Paragraphs>124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2024-10-08T12:11:00Z</dcterms:created>
  <dc:creator>Admin</dc:creator>
  <dc:description/>
  <dc:language>ru-RU</dc:language>
  <cp:lastModifiedBy/>
  <cp:lastPrinted>2026-04-03T12:31:02Z</cp:lastPrinted>
  <dcterms:modified xsi:type="dcterms:W3CDTF">2026-05-21T11:08:50Z</dcterms:modified>
  <cp:revision>72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